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bidi w:val="0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bidi w:val="0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bidi w:val="0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bidi w:val="0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bidi w:val="0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bidi w:val="0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bidi w:val="0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bidi w:val="0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Communication Protocol of Serial Port between B3VDU and B3VCU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Heading"/>
        <w:bidi w:val="0"/>
        <w:jc w:val="left"/>
        <w:rPr/>
      </w:pPr>
      <w:r>
        <w:rPr/>
        <w:t>Revision History</w:t>
      </w:r>
    </w:p>
    <w:tbl>
      <w:tblPr>
        <w:tblW w:w="9630" w:type="dxa"/>
        <w:jc w:val="left"/>
        <w:tblInd w:w="-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83"/>
        <w:gridCol w:w="1687"/>
        <w:gridCol w:w="4500"/>
        <w:gridCol w:w="2160"/>
      </w:tblGrid>
      <w:tr>
        <w:trPr/>
        <w:tc>
          <w:tcPr>
            <w:tcW w:w="1283" w:type="dxa"/>
            <w:tcBorders>
              <w:top w:val="thinThickSmallGap" w:sz="8" w:space="0" w:color="000000"/>
              <w:left w:val="thinThickSmallGap" w:sz="8" w:space="0" w:color="000000"/>
              <w:bottom w:val="thinThickSmallGap" w:sz="8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Name</w:t>
            </w:r>
          </w:p>
        </w:tc>
        <w:tc>
          <w:tcPr>
            <w:tcW w:w="1687" w:type="dxa"/>
            <w:tcBorders>
              <w:top w:val="thinThickSmallGap" w:sz="8" w:space="0" w:color="000000"/>
              <w:left w:val="thinThickSmallGap" w:sz="8" w:space="0" w:color="000000"/>
              <w:bottom w:val="thinThickSmallGap" w:sz="8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Date</w:t>
            </w:r>
          </w:p>
        </w:tc>
        <w:tc>
          <w:tcPr>
            <w:tcW w:w="4500" w:type="dxa"/>
            <w:tcBorders>
              <w:top w:val="thinThickSmallGap" w:sz="8" w:space="0" w:color="000000"/>
              <w:left w:val="thinThickSmallGap" w:sz="8" w:space="0" w:color="000000"/>
              <w:bottom w:val="thinThickSmallGap" w:sz="8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Reason For Changes</w:t>
            </w:r>
          </w:p>
        </w:tc>
        <w:tc>
          <w:tcPr>
            <w:tcW w:w="2160" w:type="dxa"/>
            <w:tcBorders>
              <w:top w:val="thinThickSmallGap" w:sz="8" w:space="0" w:color="000000"/>
              <w:left w:val="thinThickSmallGap" w:sz="8" w:space="0" w:color="000000"/>
              <w:bottom w:val="thinThickSmallGap" w:sz="8" w:space="0" w:color="000000"/>
              <w:right w:val="thinThickSmallGap" w:sz="8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Version</w:t>
            </w:r>
          </w:p>
        </w:tc>
      </w:tr>
      <w:tr>
        <w:trPr/>
        <w:tc>
          <w:tcPr>
            <w:tcW w:w="1283" w:type="dxa"/>
            <w:tcBorders>
              <w:left w:val="thinThickSmallGap" w:sz="8" w:space="0" w:color="000000"/>
              <w:bottom w:val="thinThickSmallGap" w:sz="8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Chen Yong</w:t>
            </w:r>
          </w:p>
        </w:tc>
        <w:tc>
          <w:tcPr>
            <w:tcW w:w="1687" w:type="dxa"/>
            <w:tcBorders>
              <w:left w:val="thinThickSmallGap" w:sz="8" w:space="0" w:color="000000"/>
              <w:bottom w:val="thinThickSmallGap" w:sz="8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lang w:val="en"/>
              </w:rPr>
              <w:t>Feb</w:t>
            </w:r>
            <w:r>
              <w:rPr>
                <w:lang w:val="en"/>
              </w:rPr>
              <w:t xml:space="preserve"> </w:t>
            </w:r>
            <w:r>
              <w:rPr>
                <w:lang w:val="en"/>
              </w:rPr>
              <w:t>22</w:t>
            </w:r>
            <w:r>
              <w:rPr>
                <w:lang w:val="en"/>
              </w:rPr>
              <w:t>, 2022</w:t>
            </w:r>
          </w:p>
        </w:tc>
        <w:tc>
          <w:tcPr>
            <w:tcW w:w="4500" w:type="dxa"/>
            <w:tcBorders>
              <w:left w:val="thinThickSmallGap" w:sz="8" w:space="0" w:color="000000"/>
              <w:bottom w:val="thinThickSmallGap" w:sz="8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Initial draft</w:t>
            </w:r>
          </w:p>
        </w:tc>
        <w:tc>
          <w:tcPr>
            <w:tcW w:w="2160" w:type="dxa"/>
            <w:tcBorders>
              <w:left w:val="thinThickSmallGap" w:sz="8" w:space="0" w:color="000000"/>
              <w:bottom w:val="thinThickSmallGap" w:sz="8" w:space="0" w:color="000000"/>
              <w:right w:val="thinThickSmallGap" w:sz="8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1.0.1</w:t>
            </w:r>
          </w:p>
        </w:tc>
      </w:tr>
      <w:tr>
        <w:trPr/>
        <w:tc>
          <w:tcPr>
            <w:tcW w:w="1283" w:type="dxa"/>
            <w:tcBorders>
              <w:left w:val="thinThickSmallGap" w:sz="8" w:space="0" w:color="000000"/>
              <w:bottom w:val="thinThickSmallGap" w:sz="8" w:space="0" w:color="000000"/>
            </w:tcBorders>
          </w:tcPr>
          <w:p>
            <w:pPr>
              <w:pStyle w:val="TableContents"/>
              <w:bidi w:val="0"/>
              <w:snapToGrid w:val="false"/>
              <w:jc w:val="left"/>
              <w:rPr>
                <w:lang w:val="en"/>
              </w:rPr>
            </w:pPr>
            <w:r>
              <w:rPr>
                <w:lang w:val="en"/>
              </w:rPr>
              <w:t>Chen Yong</w:t>
            </w:r>
          </w:p>
        </w:tc>
        <w:tc>
          <w:tcPr>
            <w:tcW w:w="1687" w:type="dxa"/>
            <w:tcBorders>
              <w:left w:val="thinThickSmallGap" w:sz="8" w:space="0" w:color="000000"/>
              <w:bottom w:val="thinThickSmallGap" w:sz="8" w:space="0" w:color="000000"/>
            </w:tcBorders>
          </w:tcPr>
          <w:p>
            <w:pPr>
              <w:pStyle w:val="TableContents"/>
              <w:bidi w:val="0"/>
              <w:snapToGrid w:val="false"/>
              <w:jc w:val="left"/>
              <w:rPr>
                <w:lang w:val="en"/>
              </w:rPr>
            </w:pPr>
            <w:r>
              <w:rPr>
                <w:lang w:val="en"/>
              </w:rPr>
              <w:t>Jul 14, 2022</w:t>
            </w:r>
          </w:p>
        </w:tc>
        <w:tc>
          <w:tcPr>
            <w:tcW w:w="4500" w:type="dxa"/>
            <w:tcBorders>
              <w:left w:val="thinThickSmallGap" w:sz="8" w:space="0" w:color="000000"/>
              <w:bottom w:val="thinThickSmallGap" w:sz="8" w:space="0" w:color="000000"/>
            </w:tcBorders>
          </w:tcPr>
          <w:p>
            <w:pPr>
              <w:pStyle w:val="TableContents"/>
              <w:bidi w:val="0"/>
              <w:snapToGrid w:val="false"/>
              <w:jc w:val="left"/>
              <w:rPr>
                <w:lang w:val="en"/>
              </w:rPr>
            </w:pPr>
            <w:r>
              <w:rPr>
                <w:lang w:val="en"/>
              </w:rPr>
              <w:t>NUC mode</w:t>
            </w:r>
          </w:p>
        </w:tc>
        <w:tc>
          <w:tcPr>
            <w:tcW w:w="2160" w:type="dxa"/>
            <w:tcBorders>
              <w:left w:val="thinThickSmallGap" w:sz="8" w:space="0" w:color="000000"/>
              <w:bottom w:val="thinThickSmallGap" w:sz="8" w:space="0" w:color="000000"/>
              <w:right w:val="thinThickSmallGap" w:sz="8" w:space="0" w:color="000000"/>
            </w:tcBorders>
          </w:tcPr>
          <w:p>
            <w:pPr>
              <w:pStyle w:val="TableContents"/>
              <w:bidi w:val="0"/>
              <w:snapToGrid w:val="false"/>
              <w:jc w:val="left"/>
              <w:rPr>
                <w:lang w:val="en"/>
              </w:rPr>
            </w:pPr>
            <w:r>
              <w:rPr>
                <w:lang w:val="en"/>
              </w:rPr>
              <w:t>1.0.2</w:t>
            </w:r>
          </w:p>
        </w:tc>
      </w:tr>
      <w:tr>
        <w:trPr/>
        <w:tc>
          <w:tcPr>
            <w:tcW w:w="1283" w:type="dxa"/>
            <w:tcBorders>
              <w:left w:val="thinThickSmallGap" w:sz="8" w:space="0" w:color="000000"/>
              <w:bottom w:val="thinThickSmallGap" w:sz="8" w:space="0" w:color="000000"/>
            </w:tcBorders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  <w:t>Chen Yong</w:t>
            </w:r>
          </w:p>
        </w:tc>
        <w:tc>
          <w:tcPr>
            <w:tcW w:w="1687" w:type="dxa"/>
            <w:tcBorders>
              <w:left w:val="thinThickSmallGap" w:sz="8" w:space="0" w:color="000000"/>
              <w:bottom w:val="thinThickSmallGap" w:sz="8" w:space="0" w:color="000000"/>
            </w:tcBorders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  <w:t>Aug 18, 2022</w:t>
            </w:r>
          </w:p>
        </w:tc>
        <w:tc>
          <w:tcPr>
            <w:tcW w:w="4500" w:type="dxa"/>
            <w:tcBorders>
              <w:left w:val="thinThickSmallGap" w:sz="8" w:space="0" w:color="000000"/>
              <w:bottom w:val="thinThickSmallGap" w:sz="8" w:space="0" w:color="000000"/>
            </w:tcBorders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  <w:t>OSD Variant</w:t>
            </w:r>
          </w:p>
        </w:tc>
        <w:tc>
          <w:tcPr>
            <w:tcW w:w="2160" w:type="dxa"/>
            <w:tcBorders>
              <w:left w:val="thinThickSmallGap" w:sz="8" w:space="0" w:color="000000"/>
              <w:bottom w:val="thinThickSmallGap" w:sz="8" w:space="0" w:color="000000"/>
              <w:right w:val="thinThickSmallGap" w:sz="8" w:space="0" w:color="000000"/>
            </w:tcBorders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  <w:t>1.0.3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ContentsHeading"/>
            <w:bidi w:val="0"/>
            <w:jc w:val="left"/>
            <w:rPr/>
          </w:pPr>
          <w:r>
            <w:br w:type="page"/>
          </w:r>
          <w:r>
            <w:rPr/>
            <w:t>Table of Contents</w:t>
          </w:r>
        </w:p>
        <w:p>
          <w:pPr>
            <w:pStyle w:val="Contents1"/>
            <w:bidi w:val="0"/>
            <w:jc w:val="left"/>
            <w:rPr/>
          </w:pPr>
          <w:r>
            <w:fldChar w:fldCharType="begin"/>
          </w:r>
          <w:r>
            <w:rPr>
              <w:rStyle w:val="IndexLink"/>
            </w:rPr>
            <w:instrText xml:space="preserve"> TOC \f \o "1-9" \h</w:instrText>
          </w:r>
          <w:r>
            <w:rPr>
              <w:rStyle w:val="IndexLink"/>
            </w:rPr>
            <w:fldChar w:fldCharType="separate"/>
          </w:r>
          <w:hyperlink w:anchor="__RefHeading___Toc728_1544117860">
            <w:r>
              <w:rPr>
                <w:rStyle w:val="IndexLink"/>
              </w:rPr>
              <w:t>1 Scope</w:t>
              <w:tab/>
              <w:t>4</w:t>
            </w:r>
          </w:hyperlink>
        </w:p>
        <w:p>
          <w:pPr>
            <w:pStyle w:val="Contents1"/>
            <w:bidi w:val="0"/>
            <w:jc w:val="left"/>
            <w:rPr/>
          </w:pPr>
          <w:hyperlink w:anchor="__RefHeading___Toc388_589498302">
            <w:r>
              <w:rPr>
                <w:rStyle w:val="IndexLink"/>
              </w:rPr>
              <w:t>2 Hardware Specification</w:t>
              <w:tab/>
              <w:t>4</w:t>
            </w:r>
          </w:hyperlink>
        </w:p>
        <w:p>
          <w:pPr>
            <w:pStyle w:val="Contents1"/>
            <w:bidi w:val="0"/>
            <w:jc w:val="left"/>
            <w:rPr/>
          </w:pPr>
          <w:hyperlink w:anchor="__RefHeading___Toc453_589498302">
            <w:r>
              <w:rPr>
                <w:rStyle w:val="IndexLink"/>
              </w:rPr>
              <w:t>3 system architecture</w:t>
              <w:tab/>
              <w:t>4</w:t>
            </w:r>
          </w:hyperlink>
        </w:p>
        <w:p>
          <w:pPr>
            <w:pStyle w:val="Contents2"/>
            <w:bidi w:val="0"/>
            <w:jc w:val="left"/>
            <w:rPr/>
          </w:pPr>
          <w:hyperlink w:anchor="__RefHeading___Toc460_589498302">
            <w:r>
              <w:rPr>
                <w:rStyle w:val="IndexLink"/>
              </w:rPr>
              <w:t>3.1 Data package</w:t>
              <w:tab/>
              <w:t>4</w:t>
            </w:r>
          </w:hyperlink>
        </w:p>
        <w:p>
          <w:pPr>
            <w:pStyle w:val="Contents2"/>
            <w:bidi w:val="0"/>
            <w:jc w:val="left"/>
            <w:rPr/>
          </w:pPr>
          <w:hyperlink w:anchor="__RefHeading___Toc462_589498302">
            <w:r>
              <w:rPr>
                <w:rStyle w:val="IndexLink"/>
              </w:rPr>
              <w:t>3.2 Communicaite mechanism</w:t>
              <w:tab/>
              <w:t>4</w:t>
            </w:r>
          </w:hyperlink>
        </w:p>
        <w:p>
          <w:pPr>
            <w:pStyle w:val="Contents1"/>
            <w:bidi w:val="0"/>
            <w:jc w:val="left"/>
            <w:rPr/>
          </w:pPr>
          <w:hyperlink w:anchor="__RefHeading___Toc390_589498302">
            <w:r>
              <w:rPr>
                <w:rStyle w:val="IndexLink"/>
              </w:rPr>
              <w:t>4 Data Format</w:t>
              <w:tab/>
              <w:t>5</w:t>
            </w:r>
          </w:hyperlink>
        </w:p>
        <w:p>
          <w:pPr>
            <w:pStyle w:val="Contents2"/>
            <w:bidi w:val="0"/>
            <w:jc w:val="left"/>
            <w:rPr/>
          </w:pPr>
          <w:hyperlink w:anchor="__RefHeading___Toc394_589498302">
            <w:r>
              <w:rPr>
                <w:rStyle w:val="IndexLink"/>
              </w:rPr>
              <w:t>4.1 Key package(from VDU to HOST)</w:t>
              <w:tab/>
              <w:t>5</w:t>
            </w:r>
          </w:hyperlink>
        </w:p>
        <w:p>
          <w:pPr>
            <w:pStyle w:val="Contents2"/>
            <w:bidi w:val="0"/>
            <w:jc w:val="left"/>
            <w:rPr/>
          </w:pPr>
          <w:hyperlink w:anchor="__RefHeading___Toc396_589498302">
            <w:r>
              <w:rPr>
                <w:rStyle w:val="IndexLink"/>
              </w:rPr>
              <w:t>4.2 Response of “Key Pacakge”(From Host to VDU)</w:t>
              <w:tab/>
              <w:t>5</w:t>
            </w:r>
          </w:hyperlink>
        </w:p>
        <w:p>
          <w:pPr>
            <w:pStyle w:val="Contents2"/>
            <w:bidi w:val="0"/>
            <w:jc w:val="left"/>
            <w:rPr/>
          </w:pPr>
          <w:hyperlink w:anchor="__RefHeading___Toc398_589498302">
            <w:r>
              <w:rPr>
                <w:rStyle w:val="IndexLink"/>
              </w:rPr>
              <w:t>4.3 SYSCTL(from HOST to VDU)</w:t>
              <w:tab/>
              <w:t>6</w:t>
            </w:r>
          </w:hyperlink>
        </w:p>
        <w:p>
          <w:pPr>
            <w:pStyle w:val="Contents2"/>
            <w:bidi w:val="0"/>
            <w:jc w:val="left"/>
            <w:rPr/>
          </w:pPr>
          <w:hyperlink w:anchor="__RefHeading___Toc400_589498302">
            <w:r>
              <w:rPr>
                <w:rStyle w:val="IndexLink"/>
              </w:rPr>
              <w:t>4.4 SYSINFO(from VDU to HOST)</w:t>
              <w:tab/>
              <w:t>6</w:t>
            </w:r>
          </w:hyperlink>
        </w:p>
        <w:p>
          <w:pPr>
            <w:pStyle w:val="Contents2"/>
            <w:bidi w:val="0"/>
            <w:jc w:val="left"/>
            <w:rPr/>
          </w:pPr>
          <w:hyperlink w:anchor="__RefHeading___Toc5027_1605989181">
            <w:r>
              <w:rPr>
                <w:rStyle w:val="IndexLink"/>
              </w:rPr>
              <w:t>4.5 DEV Package</w:t>
              <w:tab/>
              <w:t>6</w:t>
            </w:r>
          </w:hyperlink>
        </w:p>
        <w:p>
          <w:pPr>
            <w:pStyle w:val="Contents2"/>
            <w:bidi w:val="0"/>
            <w:jc w:val="left"/>
            <w:rPr/>
          </w:pPr>
          <w:hyperlink w:anchor="__RefHeading___Toc400_5894983021">
            <w:r>
              <w:rPr>
                <w:rStyle w:val="IndexLink"/>
              </w:rPr>
              <w:t>4.6 Response of “DEV Package”</w:t>
              <w:tab/>
              <w:t>7</w:t>
            </w:r>
          </w:hyperlink>
          <w:r>
            <w:rPr>
              <w:rStyle w:val="IndexLink"/>
            </w:rPr>
            <w:fldChar w:fldCharType="end"/>
          </w:r>
        </w:p>
      </w:sdtContent>
    </w:sdt>
    <w:p>
      <w:pPr>
        <w:pStyle w:val="ContentsHeading"/>
        <w:bidi w:val="0"/>
        <w:jc w:val="left"/>
        <w:rPr>
          <w:lang w:val="en"/>
        </w:rPr>
      </w:pPr>
      <w:r>
        <w:rPr>
          <w:lang w:val="en"/>
        </w:rPr>
      </w:r>
      <w:r>
        <w:br w:type="page"/>
      </w:r>
    </w:p>
    <w:p>
      <w:pPr>
        <w:pStyle w:val="Heading1"/>
        <w:bidi w:val="0"/>
        <w:jc w:val="left"/>
        <w:rPr/>
      </w:pPr>
      <w:bookmarkStart w:id="0" w:name="__RefHeading___Toc728_1544117860"/>
      <w:bookmarkEnd w:id="0"/>
      <w:r>
        <w:rPr/>
        <w:t>Scope</w:t>
      </w:r>
    </w:p>
    <w:p>
      <w:pPr>
        <w:pStyle w:val="TextBody"/>
        <w:bidi w:val="0"/>
        <w:spacing w:lineRule="auto" w:line="276" w:before="0" w:after="140"/>
        <w:jc w:val="left"/>
        <w:rPr/>
      </w:pPr>
      <w:bookmarkStart w:id="1" w:name="_Hlk109072127"/>
      <w:r>
        <w:rPr/>
        <w:t>This document stipulates communication protocol of serial port in-Between B3VDU and B3VCU. This document will be used as a guideline to serial port communication of B3 VDU and B3VCU according to the technical specification requirement</w:t>
      </w:r>
      <w:bookmarkEnd w:id="1"/>
      <w:r>
        <w:rPr/>
        <w:t>.</w:t>
      </w:r>
    </w:p>
    <w:p>
      <w:pPr>
        <w:pStyle w:val="Heading1"/>
        <w:bidi w:val="0"/>
        <w:jc w:val="left"/>
        <w:rPr/>
      </w:pPr>
      <w:bookmarkStart w:id="2" w:name="__RefHeading___Toc388_589498302"/>
      <w:bookmarkEnd w:id="2"/>
      <w:r>
        <w:rPr/>
        <w:t>Hardware Specification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Physical link:</w:t>
      </w:r>
      <w:r>
        <w:rPr>
          <w:b/>
        </w:rPr>
        <w:t>TIA/EIA-422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baudrate:</w:t>
      </w:r>
      <w:r>
        <w:rPr>
          <w:b/>
        </w:rPr>
        <w:t>115200 bits/s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data bits:</w:t>
      </w:r>
      <w:r>
        <w:rPr>
          <w:b/>
        </w:rPr>
        <w:t>8 bits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stop bits:</w:t>
      </w:r>
      <w:r>
        <w:rPr>
          <w:b/>
        </w:rPr>
        <w:t>1 bit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parity: </w:t>
      </w:r>
      <w:r>
        <w:rPr>
          <w:b/>
        </w:rPr>
        <w:t>no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flow contorl:</w:t>
      </w:r>
      <w:r>
        <w:rPr>
          <w:b/>
        </w:rPr>
        <w:t>no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mode: </w:t>
      </w:r>
      <w:r>
        <w:rPr>
          <w:b/>
        </w:rPr>
        <w:t xml:space="preserve">duplex </w:t>
      </w:r>
    </w:p>
    <w:p>
      <w:pPr>
        <w:pStyle w:val="Heading1"/>
        <w:bidi w:val="0"/>
        <w:jc w:val="left"/>
        <w:rPr>
          <w:rFonts w:ascii="Liberation Sans" w:hAnsi="Liberation Sans" w:eastAsia="Noto Sans CJK SC" w:cs="Lohit Devanagari"/>
          <w:b/>
          <w:b/>
          <w:bCs/>
          <w:sz w:val="36"/>
          <w:szCs w:val="36"/>
        </w:rPr>
      </w:pPr>
      <w:bookmarkStart w:id="3" w:name="__RefHeading___Toc453_589498302"/>
      <w:bookmarkEnd w:id="3"/>
      <w:r>
        <w:rPr>
          <w:rFonts w:eastAsia="Noto Sans CJK SC" w:cs="Lohit Devanagari"/>
          <w:b/>
          <w:bCs/>
          <w:sz w:val="36"/>
          <w:szCs w:val="36"/>
        </w:rPr>
        <w:t>system architecture</w:t>
      </w:r>
    </w:p>
    <w:p>
      <w:pPr>
        <w:pStyle w:val="TextBody"/>
        <w:bidi w:val="0"/>
        <w:jc w:val="left"/>
        <w:rPr>
          <w:rFonts w:ascii="Liberation Sans" w:hAnsi="Liberation Sans" w:eastAsia="Noto Sans CJK SC" w:cs="Lohit Devanagari"/>
          <w:b/>
          <w:b/>
          <w:bCs/>
          <w:sz w:val="36"/>
          <w:szCs w:val="36"/>
        </w:rPr>
      </w:pPr>
      <w:r>
        <w:rPr>
          <w:rFonts w:eastAsia="Noto Sans CJK SC" w:cs="Lohit Devanagari" w:ascii="Liberation Sans" w:hAnsi="Liberation Sans"/>
          <w:b/>
          <w:bCs/>
          <w:sz w:val="36"/>
          <w:szCs w:val="36"/>
        </w:rPr>
        <mc:AlternateContent>
          <mc:Choice Requires="wpg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2377440" cy="914400"/>
                <wp:effectExtent l="635" t="635" r="635" b="635"/>
                <wp:wrapNone/>
                <wp:docPr id="1" name="Shape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0" cy="914400"/>
                          <a:chOff x="0" y="0"/>
                          <a:chExt cx="2377440" cy="9144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  <a:solidFill>
                            <a:srgbClr val="729fcf"/>
                          </a:solidFill>
                          <a:ln w="0"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3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36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Lohit Devanagari"/>
                                  <w:color w:val="auto"/>
                                </w:rPr>
                                <w:t>VDU</w:t>
                              </w:r>
                            </w:p>
                          </w:txbxContent>
                        </wps:txbx>
                        <wps:bodyPr lIns="90000" rIns="90000" tIns="45000" bIns="45000" anchor="ctr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691640" y="0"/>
                            <a:ext cx="685800" cy="914400"/>
                          </a:xfrm>
                          <a:prstGeom prst="rect">
                            <a:avLst/>
                          </a:prstGeom>
                          <a:solidFill>
                            <a:srgbClr val="729fcf"/>
                          </a:solidFill>
                          <a:ln w="0"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emboss w:val="false"/>
                                  <w:imprint w:val="false"/>
                                  <w:em w:val="none"/>
                                  <w:iCs w:val="false"/>
                                  <w:bCs w:val="false"/>
                                  <w:szCs w:val="36"/>
                                  <w:kern w:val="2"/>
                                  <w:shadow w:val="false"/>
                                  <w:outline w:val="false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36"/>
                                  <w:rFonts w:cs="Lohit Devanagari" w:eastAsia="Noto Sans CJK SC" w:ascii="Liberation Sans" w:hAnsi="Liberation Sans"/>
                                  <w:color w:val="auto"/>
                                </w:rPr>
                                <w:t>HOST</w:t>
                              </w:r>
                            </w:p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zCs w:val="36"/>
                                  <w:sz w:val="36"/>
                                  <w:kern w:val="2"/>
                                  <w:shadow w:val="false"/>
                                  <w:outline w:val="false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rFonts w:cs="Lohit Devanagari" w:ascii="Liberation Sans" w:hAnsi="Liberation Sans" w:eastAsia="Noto Sans CJK SC"/>
                                  <w:color w:val="auto"/>
                                </w:rPr>
                                <w:t>(/VCU)</w:t>
                              </w:r>
                            </w:p>
                          </w:txbxContent>
                        </wps:txbx>
                        <wps:bodyPr lIns="90000" rIns="90000" tIns="45000" bIns="45000" anchor="ctr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94360" y="227880"/>
                            <a:ext cx="1097280" cy="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3465a4"/>
                            </a:solidFill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594360" y="685080"/>
                            <a:ext cx="1097280" cy="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3465a4"/>
                            </a:solidFill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" style="position:absolute;margin-left:0pt;margin-top:6.75pt;width:187.2pt;height:72pt" coordorigin="0,135" coordsize="3744,1440">
                <v:rect id="shape_0" fillcolor="#729fcf" stroked="t" o:allowincell="f" style="position:absolute;left:0;top:135;width:935;height:1439;mso-wrap-style:none;v-text-anchor:middle">
                  <v:textbox>
                    <w:txbxContent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sz w:val="3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outline w:val="false"/>
                            <w:shadow w:val="false"/>
                            <w:kern w:val="2"/>
                            <w:szCs w:val="36"/>
                            <w:bCs w:val="false"/>
                            <w:iCs w:val="false"/>
                            <w:em w:val="none"/>
                            <w:emboss w:val="false"/>
                            <w:imprint w:val="false"/>
                            <w:smallCaps w:val="false"/>
                            <w:caps w:val="false"/>
                            <w:rFonts w:ascii="Liberation Sans" w:hAnsi="Liberation Sans" w:eastAsia="Noto Sans CJK SC" w:cs="Lohit Devanagari"/>
                            <w:color w:val="auto"/>
                          </w:rPr>
                          <w:t>VDU</w:t>
                        </w:r>
                      </w:p>
                    </w:txbxContent>
                  </v:textbox>
                  <v:fill o:detectmouseclick="t" type="solid" color2="#8d6030"/>
                  <v:stroke color="#3465a4" joinstyle="round" endcap="flat"/>
                  <w10:wrap type="none"/>
                </v:rect>
                <v:rect id="shape_0" fillcolor="#729fcf" stroked="t" o:allowincell="f" style="position:absolute;left:2664;top:135;width:1079;height:1439;mso-wrap-style:none;v-text-anchor:middle">
                  <v:textbox>
                    <w:txbxContent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smallCaps w:val="false"/>
                            <w:caps w:val="false"/>
                            <w:emboss w:val="false"/>
                            <w:imprint w:val="false"/>
                            <w:em w:val="none"/>
                            <w:iCs w:val="false"/>
                            <w:bCs w:val="false"/>
                            <w:szCs w:val="36"/>
                            <w:kern w:val="2"/>
                            <w:shadow w:val="false"/>
                            <w:outline w:val="false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36"/>
                            <w:rFonts w:cs="Lohit Devanagari" w:eastAsia="Noto Sans CJK SC" w:ascii="Liberation Sans" w:hAnsi="Liberation Sans"/>
                            <w:color w:val="auto"/>
                          </w:rPr>
                          <w:t>HOST</w:t>
                        </w:r>
                      </w:p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smallCaps w:val="false"/>
                            <w:caps w:val="false"/>
                            <w:bCs w:val="false"/>
                            <w:iCs w:val="false"/>
                            <w:em w:val="none"/>
                            <w:emboss w:val="false"/>
                            <w:imprint w:val="false"/>
                            <w:szCs w:val="36"/>
                            <w:sz w:val="36"/>
                            <w:kern w:val="2"/>
                            <w:shadow w:val="false"/>
                            <w:outline w:val="false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rFonts w:cs="Lohit Devanagari" w:ascii="Liberation Sans" w:hAnsi="Liberation Sans" w:eastAsia="Noto Sans CJK SC"/>
                            <w:color w:val="auto"/>
                          </w:rPr>
                          <w:t>(/VCU)</w:t>
                        </w:r>
                      </w:p>
                    </w:txbxContent>
                  </v:textbox>
                  <v:fill o:detectmouseclick="t" type="solid" color2="#8d6030"/>
                  <v:stroke color="#3465a4" joinstyle="round" endcap="flat"/>
                  <w10:wrap type="none"/>
                </v:rect>
                <v:line id="shape_0" from="936,494" to="2663,494" stroked="t" o:allowincell="f" style="position:absolute">
                  <v:stroke color="#3465a4" endarrow="block" endarrowwidth="medium" endarrowlength="medium" joinstyle="round" endcap="flat"/>
                  <v:fill o:detectmouseclick="t" on="false"/>
                  <w10:wrap type="none"/>
                </v:line>
                <v:line id="shape_0" from="936,1214" to="2663,1214" stroked="t" o:allowincell="f" style="position:absolute;flip:x">
                  <v:stroke color="#3465a4" endarrow="block" endarrowwidth="medium" endarrowlength="medium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TextBody"/>
        <w:bidi w:val="0"/>
        <w:jc w:val="left"/>
        <w:rPr>
          <w:rFonts w:ascii="Liberation Sans" w:hAnsi="Liberation Sans" w:eastAsia="Noto Sans CJK SC" w:cs="Lohit Devanagari"/>
          <w:b/>
          <w:b/>
          <w:bCs/>
          <w:sz w:val="36"/>
          <w:szCs w:val="36"/>
        </w:rPr>
      </w:pPr>
      <w:r>
        <w:rPr>
          <w:rFonts w:eastAsia="Noto Sans CJK SC" w:cs="Lohit Devanagari" w:ascii="Liberation Sans" w:hAnsi="Liberation Sans"/>
          <w:b/>
          <w:bCs/>
          <w:sz w:val="36"/>
          <w:szCs w:val="36"/>
        </w:rPr>
      </w:r>
    </w:p>
    <w:p>
      <w:pPr>
        <w:pStyle w:val="TextBody"/>
        <w:bidi w:val="0"/>
        <w:jc w:val="left"/>
        <w:rPr>
          <w:rFonts w:ascii="Liberation Sans" w:hAnsi="Liberation Sans" w:eastAsia="Noto Sans CJK SC" w:cs="Lohit Devanagari"/>
          <w:b/>
          <w:b/>
          <w:bCs/>
          <w:sz w:val="36"/>
          <w:szCs w:val="36"/>
        </w:rPr>
      </w:pPr>
      <w:r>
        <w:rPr>
          <w:rFonts w:eastAsia="Noto Sans CJK SC" w:cs="Lohit Devanagari" w:ascii="Liberation Sans" w:hAnsi="Liberation Sans"/>
          <w:b/>
          <w:bCs/>
          <w:sz w:val="36"/>
          <w:szCs w:val="36"/>
        </w:rPr>
      </w:r>
    </w:p>
    <w:p>
      <w:pPr>
        <w:pStyle w:val="Heading2"/>
        <w:bidi w:val="0"/>
        <w:jc w:val="left"/>
        <w:rPr/>
      </w:pPr>
      <w:bookmarkStart w:id="4" w:name="__RefHeading___Toc460_589498302"/>
      <w:bookmarkEnd w:id="4"/>
      <w:r>
        <w:rPr>
          <w:rFonts w:eastAsia="Noto Sans CJK SC" w:cs="Lohit Devanagari"/>
          <w:b/>
          <w:bCs/>
          <w:sz w:val="36"/>
          <w:szCs w:val="36"/>
        </w:rPr>
        <w:t xml:space="preserve">Data </w:t>
      </w:r>
      <w:r>
        <w:rPr>
          <w:rFonts w:eastAsia="Noto Sans CJK SC" w:cs="Lohit Devanagari"/>
          <w:b/>
          <w:bCs/>
          <w:sz w:val="36"/>
          <w:szCs w:val="36"/>
        </w:rPr>
        <w:t>package</w:t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1853"/>
        <w:gridCol w:w="2107"/>
        <w:gridCol w:w="540"/>
        <w:gridCol w:w="2250"/>
        <w:gridCol w:w="1995"/>
      </w:tblGrid>
      <w:tr>
        <w:trPr/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header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Package ID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parameters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tail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Checksum 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End symbol</w:t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$</w:t>
            </w:r>
          </w:p>
        </w:tc>
        <w:tc>
          <w:tcPr>
            <w:tcW w:w="18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Ascii code</w:t>
            </w:r>
          </w:p>
        </w:tc>
        <w:tc>
          <w:tcPr>
            <w:tcW w:w="21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Ascii </w:t>
            </w:r>
            <w:r>
              <w:rPr/>
              <w:t>code. Insert ‘,’ between parameters</w:t>
            </w: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  <w:t>*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2 HEX ascii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\r or \n or \0 or (any combination)</w:t>
            </w:r>
          </w:p>
        </w:tc>
      </w:tr>
    </w:tbl>
    <w:p>
      <w:pPr>
        <w:pStyle w:val="TextBody"/>
        <w:bidi w:val="0"/>
        <w:jc w:val="left"/>
        <w:rPr>
          <w:rFonts w:ascii="Liberation Sans" w:hAnsi="Liberation Sans" w:eastAsia="Noto Sans CJK SC" w:cs="Lohit Devanagari"/>
          <w:b w:val="false"/>
          <w:b w:val="false"/>
          <w:bCs w:val="false"/>
          <w:sz w:val="24"/>
          <w:szCs w:val="24"/>
        </w:rPr>
      </w:pPr>
      <w:r>
        <w:rPr>
          <w:rFonts w:eastAsia="Noto Sans CJK SC" w:cs="Lohit Devanagari" w:ascii="Liberation Sans" w:hAnsi="Liberation Sans"/>
          <w:b w:val="false"/>
          <w:bCs w:val="false"/>
          <w:sz w:val="24"/>
          <w:szCs w:val="24"/>
        </w:rPr>
        <w:t>checksum: the two HEX character as the checksum of the package.(the sum of all chracters of package between ‘$’ and  ‘*’, exclude ‘$’ and ‘*’). It is not a neccesary item. It can be empty.</w:t>
      </w:r>
    </w:p>
    <w:p>
      <w:pPr>
        <w:pStyle w:val="TextBody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Noto Sans CJK SC" w:cs="Lohit Devanagari" w:ascii="Liberation Sans" w:hAnsi="Liberation Sans"/>
          <w:b w:val="false"/>
          <w:bCs w:val="false"/>
          <w:sz w:val="24"/>
          <w:szCs w:val="24"/>
        </w:rPr>
        <w:t>E</w:t>
      </w:r>
      <w:r>
        <w:rPr>
          <w:rFonts w:eastAsia="Noto Sans CJK SC" w:cs="Lohit Devanagari" w:ascii="Liberation Sans" w:hAnsi="Liberation Sans"/>
          <w:b w:val="false"/>
          <w:bCs w:val="false"/>
          <w:sz w:val="24"/>
          <w:szCs w:val="24"/>
        </w:rPr>
        <w:t>xample:</w:t>
      </w:r>
    </w:p>
    <w:p>
      <w:pPr>
        <w:pStyle w:val="TextBody"/>
        <w:bidi w:val="0"/>
        <w:jc w:val="left"/>
        <w:rPr>
          <w:rFonts w:ascii="Liberation Sans" w:hAnsi="Liberation Sans" w:eastAsia="Noto Sans CJK SC" w:cs="Lohit Devanagari"/>
          <w:b w:val="false"/>
          <w:b w:val="false"/>
          <w:bCs w:val="false"/>
          <w:sz w:val="24"/>
          <w:szCs w:val="24"/>
        </w:rPr>
      </w:pPr>
      <w:r>
        <w:rPr>
          <w:rFonts w:eastAsia="Noto Sans CJK SC" w:cs="Lohit Devanagari" w:ascii="Liberation Sans" w:hAnsi="Liberation Sans"/>
          <w:b w:val="false"/>
          <w:bCs w:val="false"/>
          <w:sz w:val="24"/>
          <w:szCs w:val="24"/>
        </w:rPr>
        <w:t>$KEY,123,0A,01234567*10\0</w:t>
      </w:r>
    </w:p>
    <w:p>
      <w:pPr>
        <w:pStyle w:val="TextBody"/>
        <w:bidi w:val="0"/>
        <w:jc w:val="left"/>
        <w:rPr>
          <w:rFonts w:ascii="Liberation Sans" w:hAnsi="Liberation Sans" w:eastAsia="Noto Sans CJK SC" w:cs="Lohit Devanagari"/>
          <w:b w:val="false"/>
          <w:b w:val="false"/>
          <w:bCs w:val="false"/>
          <w:sz w:val="24"/>
          <w:szCs w:val="24"/>
        </w:rPr>
      </w:pPr>
      <w:r>
        <w:rPr>
          <w:rFonts w:eastAsia="Noto Sans CJK SC" w:cs="Lohit Devanagari" w:ascii="Liberation Sans" w:hAnsi="Liberation Sans"/>
          <w:b w:val="false"/>
          <w:bCs w:val="false"/>
          <w:sz w:val="24"/>
          <w:szCs w:val="24"/>
        </w:rPr>
        <w:t>$KEY,123,0A,01234567*\</w:t>
      </w:r>
      <w:r>
        <w:rPr>
          <w:rFonts w:eastAsia="Noto Sans CJK SC" w:cs="Lohit Devanagari" w:ascii="Liberation Sans" w:hAnsi="Liberation Sans"/>
          <w:b w:val="false"/>
          <w:bCs w:val="false"/>
          <w:sz w:val="24"/>
          <w:szCs w:val="24"/>
        </w:rPr>
        <w:t>r\n\</w:t>
      </w:r>
      <w:r>
        <w:rPr>
          <w:rFonts w:eastAsia="Noto Sans CJK SC" w:cs="Lohit Devanagari" w:ascii="Liberation Sans" w:hAnsi="Liberation Sans"/>
          <w:b w:val="false"/>
          <w:bCs w:val="false"/>
          <w:sz w:val="24"/>
          <w:szCs w:val="24"/>
        </w:rPr>
        <w:t>0</w:t>
      </w:r>
    </w:p>
    <w:p>
      <w:pPr>
        <w:pStyle w:val="Heading2"/>
        <w:bidi w:val="0"/>
        <w:jc w:val="left"/>
        <w:rPr/>
      </w:pPr>
      <w:bookmarkStart w:id="5" w:name="__RefHeading___Toc462_589498302"/>
      <w:bookmarkEnd w:id="5"/>
      <w:r>
        <w:rPr>
          <w:rFonts w:eastAsia="Noto Sans CJK SC" w:cs="Lohit Devanagari"/>
          <w:sz w:val="36"/>
          <w:szCs w:val="36"/>
        </w:rPr>
        <w:t>C</w:t>
      </w:r>
      <w:r>
        <w:rPr>
          <w:rFonts w:eastAsia="Noto Sans CJK SC" w:cs="Lohit Devanagari"/>
          <w:sz w:val="36"/>
          <w:szCs w:val="36"/>
        </w:rPr>
        <w:t>ommunicaite mechanism</w:t>
      </w:r>
    </w:p>
    <w:p>
      <w:pPr>
        <w:pStyle w:val="TextBody"/>
        <w:numPr>
          <w:ilvl w:val="0"/>
          <w:numId w:val="2"/>
        </w:numPr>
        <w:bidi w:val="0"/>
        <w:jc w:val="left"/>
        <w:rPr>
          <w:sz w:val="24"/>
          <w:szCs w:val="24"/>
        </w:rPr>
      </w:pPr>
      <w:r>
        <w:rPr>
          <w:rFonts w:eastAsia="Noto Sans CJK SC" w:cs="Lohit Devanagari" w:ascii="Liberation Sans" w:hAnsi="Liberation Sans"/>
          <w:sz w:val="24"/>
          <w:szCs w:val="24"/>
        </w:rPr>
        <w:t xml:space="preserve">VDU </w:t>
      </w:r>
      <w:r>
        <w:rPr>
          <w:rFonts w:eastAsia="Noto Sans CJK SC" w:cs="Lohit Devanagari" w:ascii="Liberation Sans" w:hAnsi="Liberation Sans"/>
          <w:sz w:val="24"/>
          <w:szCs w:val="24"/>
        </w:rPr>
        <w:t>continuse to send “Key package” per 100 ms.</w:t>
      </w:r>
    </w:p>
    <w:p>
      <w:pPr>
        <w:pStyle w:val="TextBody"/>
        <w:numPr>
          <w:ilvl w:val="0"/>
          <w:numId w:val="2"/>
        </w:numPr>
        <w:bidi w:val="0"/>
        <w:jc w:val="left"/>
        <w:rPr>
          <w:rFonts w:ascii="Liberation Sans" w:hAnsi="Liberation Sans" w:eastAsia="Noto Sans CJK SC" w:cs="Lohit Devanagari"/>
          <w:sz w:val="24"/>
          <w:szCs w:val="24"/>
        </w:rPr>
      </w:pPr>
      <w:r>
        <w:rPr>
          <w:rFonts w:eastAsia="Noto Sans CJK SC" w:cs="Lohit Devanagari" w:ascii="Liberation Sans" w:hAnsi="Liberation Sans"/>
          <w:sz w:val="24"/>
          <w:szCs w:val="24"/>
        </w:rPr>
        <w:t xml:space="preserve">VDU will set the HOST error bit if it does not receive the response package of “Key </w:t>
      </w:r>
      <w:r>
        <w:rPr>
          <w:rFonts w:eastAsia="Noto Sans CJK SC" w:cs="Lohit Devanagari" w:ascii="Liberation Sans" w:hAnsi="Liberation Sans"/>
          <w:sz w:val="24"/>
          <w:szCs w:val="24"/>
        </w:rPr>
        <w:t>package” within 100ms</w:t>
      </w:r>
      <w:r>
        <w:rPr>
          <w:rFonts w:eastAsia="Noto Sans CJK SC" w:cs="Lohit Devanagari" w:ascii="Liberation Sans" w:hAnsi="Liberation Sans"/>
          <w:sz w:val="24"/>
          <w:szCs w:val="24"/>
        </w:rPr>
        <w:t>.</w:t>
      </w:r>
    </w:p>
    <w:p>
      <w:pPr>
        <w:pStyle w:val="TextBody"/>
        <w:numPr>
          <w:ilvl w:val="0"/>
          <w:numId w:val="2"/>
        </w:numPr>
        <w:bidi w:val="0"/>
        <w:jc w:val="left"/>
        <w:rPr>
          <w:rFonts w:ascii="Liberation Sans" w:hAnsi="Liberation Sans" w:eastAsia="Noto Sans CJK SC" w:cs="Lohit Devanagari"/>
          <w:sz w:val="24"/>
          <w:szCs w:val="24"/>
        </w:rPr>
      </w:pPr>
      <w:r>
        <w:rPr>
          <w:rFonts w:eastAsia="Noto Sans CJK SC" w:cs="Lohit Devanagari" w:ascii="Liberation Sans" w:hAnsi="Liberation Sans"/>
          <w:sz w:val="24"/>
          <w:szCs w:val="24"/>
        </w:rPr>
        <w:t>VDU can recieve the “sysctl” command pacakge.</w:t>
      </w:r>
    </w:p>
    <w:p>
      <w:pPr>
        <w:pStyle w:val="TextBody"/>
        <w:numPr>
          <w:ilvl w:val="0"/>
          <w:numId w:val="2"/>
        </w:numPr>
        <w:bidi w:val="0"/>
        <w:jc w:val="left"/>
        <w:rPr>
          <w:rFonts w:ascii="Liberation Sans" w:hAnsi="Liberation Sans" w:eastAsia="Noto Sans CJK SC" w:cs="Lohit Devanagari"/>
          <w:sz w:val="24"/>
          <w:szCs w:val="24"/>
        </w:rPr>
      </w:pPr>
      <w:r>
        <w:rPr>
          <w:rFonts w:eastAsia="Noto Sans CJK SC" w:cs="Lohit Devanagari" w:ascii="Liberation Sans" w:hAnsi="Liberation Sans"/>
          <w:sz w:val="24"/>
          <w:szCs w:val="24"/>
        </w:rPr>
        <w:t xml:space="preserve">VDU will start or stop </w:t>
      </w:r>
      <w:r>
        <w:rPr>
          <w:rFonts w:eastAsia="Noto Sans CJK SC" w:cs="Lohit Devanagari" w:ascii="Liberation Sans" w:hAnsi="Liberation Sans"/>
          <w:sz w:val="24"/>
          <w:szCs w:val="24"/>
        </w:rPr>
        <w:t>sending “</w:t>
      </w:r>
      <w:r>
        <w:rPr>
          <w:rFonts w:eastAsia="Noto Sans CJK SC" w:cs="Lohit Devanagari" w:ascii="Liberation Sans" w:hAnsi="Liberation Sans"/>
          <w:sz w:val="24"/>
          <w:szCs w:val="24"/>
        </w:rPr>
        <w:t>sysinfo pacakge” per 500ms based on the “sysctl” command.</w:t>
      </w:r>
    </w:p>
    <w:p>
      <w:pPr>
        <w:pStyle w:val="TextBody"/>
        <w:numPr>
          <w:ilvl w:val="0"/>
          <w:numId w:val="2"/>
        </w:numPr>
        <w:bidi w:val="0"/>
        <w:jc w:val="left"/>
        <w:rPr>
          <w:rFonts w:ascii="Liberation Sans" w:hAnsi="Liberation Sans" w:eastAsia="Noto Sans CJK SC" w:cs="Lohit Devanagari"/>
          <w:sz w:val="24"/>
          <w:szCs w:val="24"/>
        </w:rPr>
      </w:pPr>
      <w:r>
        <w:rPr>
          <w:rFonts w:eastAsia="Noto Sans CJK SC" w:cs="Lohit Devanagari" w:ascii="Liberation Sans" w:hAnsi="Liberation Sans"/>
          <w:sz w:val="24"/>
          <w:szCs w:val="24"/>
        </w:rPr>
        <w:t>VDU can recieve the “dev” command package.</w:t>
      </w:r>
    </w:p>
    <w:p>
      <w:pPr>
        <w:pStyle w:val="TextBody"/>
        <w:numPr>
          <w:ilvl w:val="0"/>
          <w:numId w:val="2"/>
        </w:numPr>
        <w:bidi w:val="0"/>
        <w:jc w:val="left"/>
        <w:rPr/>
      </w:pPr>
      <w:r>
        <w:rPr>
          <w:rFonts w:eastAsia="Noto Sans CJK SC" w:cs="Lohit Devanagari" w:ascii="Liberation Sans" w:hAnsi="Liberation Sans"/>
          <w:sz w:val="24"/>
          <w:szCs w:val="24"/>
        </w:rPr>
        <w:t xml:space="preserve">VDU will send the device information back in the Response </w:t>
      </w:r>
      <w:r>
        <w:rPr>
          <w:rFonts w:eastAsia="Noto Sans CJK SC" w:cs="Lohit Devanagari" w:ascii="Liberation Sans" w:hAnsi="Liberation Sans"/>
          <w:sz w:val="24"/>
          <w:szCs w:val="24"/>
        </w:rPr>
        <w:t>of “</w:t>
      </w:r>
      <w:r>
        <w:rPr>
          <w:rFonts w:eastAsia="Noto Sans CJK SC" w:cs="Lohit Devanagari" w:ascii="Liberation Sans" w:hAnsi="Liberation Sans"/>
          <w:sz w:val="24"/>
          <w:szCs w:val="24"/>
        </w:rPr>
        <w:t xml:space="preserve">dev </w:t>
      </w:r>
      <w:r>
        <w:rPr>
          <w:rFonts w:eastAsia="Noto Sans CJK SC" w:cs="Lohit Devanagari" w:ascii="Liberation Sans" w:hAnsi="Liberation Sans"/>
          <w:sz w:val="24"/>
          <w:szCs w:val="24"/>
        </w:rPr>
        <w:t>Pac</w:t>
      </w:r>
      <w:r>
        <w:rPr>
          <w:rFonts w:eastAsia="Noto Sans CJK SC" w:cs="Lohit Devanagari" w:ascii="Liberation Sans" w:hAnsi="Liberation Sans"/>
          <w:sz w:val="24"/>
          <w:szCs w:val="24"/>
        </w:rPr>
        <w:t>k</w:t>
      </w:r>
      <w:r>
        <w:rPr>
          <w:rFonts w:eastAsia="Noto Sans CJK SC" w:cs="Lohit Devanagari" w:ascii="Liberation Sans" w:hAnsi="Liberation Sans"/>
          <w:sz w:val="24"/>
          <w:szCs w:val="24"/>
        </w:rPr>
        <w:t>age”</w:t>
      </w:r>
      <w:r>
        <w:rPr>
          <w:rFonts w:eastAsia="Noto Sans CJK SC" w:cs="Lohit Devanagari" w:ascii="Liberation Sans" w:hAnsi="Liberation Sans"/>
          <w:sz w:val="24"/>
          <w:szCs w:val="24"/>
        </w:rPr>
        <w:t>.</w:t>
      </w:r>
    </w:p>
    <w:p>
      <w:pPr>
        <w:pStyle w:val="Heading1"/>
        <w:bidi w:val="0"/>
        <w:jc w:val="left"/>
        <w:rPr>
          <w:rFonts w:ascii="Liberation Sans" w:hAnsi="Liberation Sans" w:eastAsia="Noto Sans CJK SC" w:cs="Lohit Devanagari"/>
          <w:b/>
          <w:b/>
          <w:bCs/>
          <w:sz w:val="36"/>
          <w:szCs w:val="36"/>
        </w:rPr>
      </w:pPr>
      <w:bookmarkStart w:id="6" w:name="__RefHeading___Toc390_589498302"/>
      <w:bookmarkEnd w:id="6"/>
      <w:r>
        <w:rPr>
          <w:rFonts w:eastAsia="Noto Sans CJK SC" w:cs="Lohit Devanagari"/>
          <w:b/>
          <w:bCs/>
          <w:sz w:val="36"/>
          <w:szCs w:val="36"/>
        </w:rPr>
        <w:t>Data Format</w:t>
      </w:r>
    </w:p>
    <w:p>
      <w:pPr>
        <w:pStyle w:val="Heading2"/>
        <w:bidi w:val="0"/>
        <w:jc w:val="left"/>
        <w:rPr/>
      </w:pPr>
      <w:bookmarkStart w:id="7" w:name="__RefHeading___Toc394_589498302"/>
      <w:bookmarkEnd w:id="7"/>
      <w:r>
        <w:rPr/>
        <w:t>Key package</w:t>
      </w:r>
      <w:r>
        <w:rPr/>
        <w:t>(from VDU to HOST)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value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$PKGID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$KEY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PAR1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Integer: 0 to 255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Package No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PAR</w:t>
            </w:r>
            <w:r>
              <w:rPr/>
              <w:t>2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Hex: 8bits</w:t>
            </w:r>
          </w:p>
          <w:p>
            <w:pPr>
              <w:pStyle w:val="TableContents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bit0: front</w:t>
            </w:r>
          </w:p>
          <w:p>
            <w:pPr>
              <w:pStyle w:val="TableContents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bit1: rear</w:t>
            </w:r>
          </w:p>
          <w:p>
            <w:pPr>
              <w:pStyle w:val="TableContents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bit2: IR</w:t>
            </w:r>
          </w:p>
          <w:p>
            <w:pPr>
              <w:pStyle w:val="TableContents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bit3: NUC</w:t>
            </w:r>
          </w:p>
          <w:p>
            <w:pPr>
              <w:pStyle w:val="TableContents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bit7: NUC mode</w:t>
            </w:r>
          </w:p>
          <w:p>
            <w:pPr>
              <w:pStyle w:val="TableContents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(note: front and rear cannot be 1  at the same time in the package.)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Key </w:t>
            </w:r>
            <w:r>
              <w:rPr>
                <w:color w:val="000000"/>
              </w:rPr>
              <w:t>(bit0-bit3)</w:t>
            </w:r>
          </w:p>
          <w:p>
            <w:pPr>
              <w:pStyle w:val="TableContents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0=released</w:t>
            </w:r>
          </w:p>
          <w:p>
            <w:pPr>
              <w:pStyle w:val="TableContents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1=pressed</w:t>
            </w:r>
          </w:p>
          <w:p>
            <w:pPr>
              <w:pStyle w:val="TableContents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TableContents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NUC mode:</w:t>
            </w:r>
          </w:p>
          <w:p>
            <w:pPr>
              <w:pStyle w:val="TableContents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0=auto</w:t>
            </w:r>
          </w:p>
          <w:p>
            <w:pPr>
              <w:pStyle w:val="TableContents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1=development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PAR3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Hex: 32bits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Bit0: memory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bit1: logdata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bit2: snsor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bit3: current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bit4: temperature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bit5: </w:t>
            </w:r>
            <w:r>
              <w:rPr/>
              <w:t>pwm0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bit6: </w:t>
            </w:r>
            <w:r>
              <w:rPr/>
              <w:t>pwm1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bit7: </w:t>
            </w:r>
            <w:r>
              <w:rPr/>
              <w:t>keypad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bit8: video out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bit9: video </w:t>
            </w:r>
            <w:r>
              <w:rPr/>
              <w:t>in0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bit10: video </w:t>
            </w:r>
            <w:r>
              <w:rPr/>
              <w:t>in1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bit11: </w:t>
            </w:r>
            <w:r>
              <w:rPr/>
              <w:t>osd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bit12: </w:t>
            </w:r>
            <w:r>
              <w:rPr/>
              <w:t>serial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bit13: </w:t>
            </w:r>
            <w:r>
              <w:rPr/>
              <w:t>host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System error bits.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0: PASS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1: Fail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PAR</w:t>
            </w:r>
            <w:r>
              <w:rPr/>
              <w:t>4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Integer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System Power On timer(unit:s)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*CHK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checksum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Heading2"/>
        <w:bidi w:val="0"/>
        <w:jc w:val="left"/>
        <w:rPr/>
      </w:pPr>
      <w:bookmarkStart w:id="8" w:name="__RefHeading___Toc396_589498302"/>
      <w:bookmarkEnd w:id="8"/>
      <w:r>
        <w:rPr/>
        <w:t xml:space="preserve">Response </w:t>
      </w:r>
      <w:r>
        <w:rPr/>
        <w:t>of “Key Pacakge”</w:t>
      </w:r>
      <w:r>
        <w:rPr/>
        <w:t>(From Host to VDU)</w:t>
      </w:r>
    </w:p>
    <w:p>
      <w:pPr>
        <w:pStyle w:val="TextBody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value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$PKGID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$</w:t>
            </w:r>
            <w:r>
              <w:rPr/>
              <w:t>KEYA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Acknowledge of package ‘KEY’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PAR1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Integer: 0 to 255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Equal to the PKGNO of the response package 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PAR</w:t>
            </w:r>
            <w:r>
              <w:rPr/>
              <w:t>2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Hex: 8bits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bit0: front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bit1: rear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bit2: IR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bit3: NUC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bit7: IR Mode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Response to a (KEY) package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front:1=VCU Get “front” Key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rear:1=VCU get “rear” key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IR:1=VCU get “IR” key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NUC:1=VCU get “NUC” key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IR Mode:1=IR ON 0=IR OFF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color w:val="C9211E"/>
              </w:rPr>
            </w:pPr>
            <w:r>
              <w:rPr>
                <w:color w:val="C9211E"/>
              </w:rPr>
              <w:t>PAR3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color w:val="C9211E"/>
              </w:rPr>
            </w:pPr>
            <w:r>
              <w:rPr>
                <w:color w:val="C9211E"/>
              </w:rPr>
              <w:t>String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color w:val="C9211E"/>
              </w:rPr>
            </w:pPr>
            <w:r>
              <w:rPr>
                <w:color w:val="C9211E"/>
              </w:rPr>
              <w:t>Osd variant name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*CHK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checksum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Heading2"/>
        <w:bidi w:val="0"/>
        <w:jc w:val="left"/>
        <w:rPr/>
      </w:pPr>
      <w:bookmarkStart w:id="9" w:name="__RefHeading___Toc398_589498302"/>
      <w:bookmarkEnd w:id="9"/>
      <w:r>
        <w:rPr>
          <w:rFonts w:eastAsia="Noto Sans CJK SC" w:cs="Lohit Devanagari"/>
          <w:b/>
          <w:bCs/>
          <w:sz w:val="32"/>
          <w:szCs w:val="32"/>
        </w:rPr>
        <w:t>SYSCTL</w:t>
      </w:r>
      <w:r>
        <w:rPr/>
        <w:t xml:space="preserve">(from </w:t>
      </w:r>
      <w:r>
        <w:rPr>
          <w:rFonts w:eastAsia="Noto Sans CJK SC" w:cs="Lohit Devanagari"/>
          <w:b/>
          <w:bCs/>
          <w:sz w:val="32"/>
          <w:szCs w:val="32"/>
        </w:rPr>
        <w:t>HOST</w:t>
      </w:r>
      <w:r>
        <w:rPr/>
        <w:t xml:space="preserve"> to </w:t>
      </w:r>
      <w:r>
        <w:rPr>
          <w:rFonts w:eastAsia="Noto Sans CJK SC" w:cs="Lohit Devanagari"/>
          <w:b/>
          <w:bCs/>
          <w:sz w:val="32"/>
          <w:szCs w:val="32"/>
        </w:rPr>
        <w:t>VDU</w:t>
      </w:r>
      <w:r>
        <w:rPr/>
        <w:t>)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value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$PKGID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$</w:t>
            </w:r>
            <w:r>
              <w:rPr/>
              <w:t>SYS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PAR1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0:disable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1:enable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System information output enable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*CHK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checksum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TextBody"/>
        <w:bidi w:val="0"/>
        <w:jc w:val="left"/>
        <w:rPr/>
      </w:pPr>
      <w:r>
        <w:rPr/>
      </w:r>
    </w:p>
    <w:p>
      <w:pPr>
        <w:pStyle w:val="Heading2"/>
        <w:bidi w:val="0"/>
        <w:jc w:val="left"/>
        <w:rPr/>
      </w:pPr>
      <w:bookmarkStart w:id="10" w:name="__RefHeading___Toc400_589498302"/>
      <w:bookmarkEnd w:id="10"/>
      <w:r>
        <w:rPr>
          <w:rFonts w:eastAsia="Noto Sans CJK SC" w:cs="Lohit Devanagari"/>
          <w:b/>
          <w:bCs/>
          <w:sz w:val="32"/>
          <w:szCs w:val="32"/>
        </w:rPr>
        <w:t>SYSINFO</w:t>
      </w:r>
      <w:r>
        <w:rPr/>
        <w:t>(from VDU to HOST)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value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$PKGID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$</w:t>
            </w:r>
            <w:r>
              <w:rPr/>
              <w:t>SYSA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PAR1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float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Power current</w:t>
            </w:r>
            <w:r>
              <w:rPr/>
              <w:t>(unit: 0.001A)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PAR</w:t>
            </w:r>
            <w:r>
              <w:rPr/>
              <w:t>2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float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Cpu temperature</w:t>
            </w:r>
            <w:r>
              <w:rPr/>
              <w:t xml:space="preserve"> </w:t>
            </w:r>
            <w:r>
              <w:rPr/>
              <w:t>(unit: 0.001C)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PAR3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Integer: 0 - 100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Cpu usage percentage</w:t>
            </w:r>
            <w:r>
              <w:rPr/>
              <w:t>(unit:%)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PAR4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Integer: 0 – 100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Mem usage percentage</w:t>
            </w:r>
            <w:r>
              <w:rPr/>
              <w:t>(unit:%)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*CHK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checksum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TextBody"/>
        <w:bidi w:val="0"/>
        <w:jc w:val="left"/>
        <w:rPr/>
      </w:pPr>
      <w:r>
        <w:rPr/>
        <w:t>This data package will be send per 500ms when HOST enable the information output in the SYSCTRL pacakge. It will continue to be send until the HOST diable it.</w:t>
      </w:r>
    </w:p>
    <w:p>
      <w:pPr>
        <w:pStyle w:val="Heading2"/>
        <w:bidi w:val="0"/>
        <w:jc w:val="left"/>
        <w:rPr/>
      </w:pPr>
      <w:bookmarkStart w:id="11" w:name="__RefHeading___Toc5027_1605989181"/>
      <w:bookmarkEnd w:id="11"/>
      <w:r>
        <w:rPr>
          <w:rFonts w:eastAsia="Noto Sans CJK SC" w:cs="Lohit Devanagari"/>
          <w:b/>
          <w:bCs/>
          <w:sz w:val="32"/>
          <w:szCs w:val="32"/>
        </w:rPr>
        <w:t>DEV</w:t>
      </w:r>
      <w:r>
        <w:rPr>
          <w:rFonts w:eastAsia="Noto Sans CJK SC" w:cs="Lohit Devanagari"/>
          <w:b/>
          <w:bCs/>
          <w:sz w:val="32"/>
          <w:szCs w:val="32"/>
        </w:rPr>
        <w:t xml:space="preserve"> </w:t>
      </w:r>
      <w:r>
        <w:rPr>
          <w:rFonts w:eastAsia="Noto Sans CJK SC" w:cs="Lohit Devanagari"/>
          <w:b/>
          <w:bCs/>
          <w:sz w:val="32"/>
          <w:szCs w:val="32"/>
        </w:rPr>
        <w:t>Package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value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$PKGID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$</w:t>
            </w:r>
            <w:r>
              <w:rPr/>
              <w:t>DEV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PAR1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Integer: 0 to 255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Package No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*CHK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checksum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Heading2"/>
        <w:bidi w:val="0"/>
        <w:jc w:val="left"/>
        <w:rPr/>
      </w:pPr>
      <w:bookmarkStart w:id="12" w:name="__RefHeading___Toc400_5894983021"/>
      <w:bookmarkEnd w:id="12"/>
      <w:r>
        <w:rPr/>
        <w:t xml:space="preserve">Response </w:t>
      </w:r>
      <w:r>
        <w:rPr/>
        <w:t>of “</w:t>
      </w:r>
      <w:r>
        <w:rPr>
          <w:rFonts w:eastAsia="Noto Sans CJK SC" w:cs="Lohit Devanagari"/>
          <w:b/>
          <w:bCs/>
          <w:sz w:val="32"/>
          <w:szCs w:val="32"/>
        </w:rPr>
        <w:t>DEV</w:t>
      </w:r>
      <w:r>
        <w:rPr/>
        <w:t xml:space="preserve"> Pac</w:t>
      </w:r>
      <w:r>
        <w:rPr/>
        <w:t>k</w:t>
      </w:r>
      <w:r>
        <w:rPr/>
        <w:t>age”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value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$PKGID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$</w:t>
            </w:r>
            <w:r>
              <w:rPr/>
              <w:t>DEVA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PAR1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string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System Version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PAR</w:t>
            </w:r>
            <w:r>
              <w:rPr/>
              <w:t>2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string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Serial No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PAR</w:t>
            </w:r>
            <w:r>
              <w:rPr/>
              <w:t>3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string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Manufacturing date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*CHK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checksum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Heading2"/>
        <w:keepNext w:val="true"/>
        <w:numPr>
          <w:ilvl w:val="0"/>
          <w:numId w:val="0"/>
        </w:numPr>
        <w:bidi w:val="0"/>
        <w:spacing w:before="200" w:after="12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decimal"/>
      <w:lvlText w:val="%1.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SG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SG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IndexLink">
    <w:name w:val="Index Link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IndexHeading">
    <w:name w:val="Index Heading"/>
    <w:basedOn w:val="Heading"/>
    <w:pPr>
      <w:suppressLineNumbers/>
      <w:ind w:left="0" w:right="0" w:hanging="0"/>
    </w:pPr>
    <w:rPr>
      <w:b/>
      <w:bCs/>
      <w:sz w:val="32"/>
      <w:szCs w:val="32"/>
    </w:rPr>
  </w:style>
  <w:style w:type="paragraph" w:styleId="ContentsHeading">
    <w:name w:val="TOC Heading"/>
    <w:basedOn w:val="IndexHeading"/>
    <w:pPr>
      <w:suppressLineNumbers/>
      <w:ind w:left="0" w:right="0" w:hanging="0"/>
    </w:pPr>
    <w:rPr>
      <w:b/>
      <w:bCs/>
      <w:sz w:val="32"/>
      <w:szCs w:val="32"/>
    </w:rPr>
  </w:style>
  <w:style w:type="paragraph" w:styleId="Contents1">
    <w:name w:val="TOC 1"/>
    <w:basedOn w:val="Index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Contents2">
    <w:name w:val="TOC 2"/>
    <w:basedOn w:val="Index"/>
    <w:pPr>
      <w:tabs>
        <w:tab w:val="clear" w:pos="709"/>
        <w:tab w:val="right" w:pos="9638" w:leader="dot"/>
      </w:tabs>
      <w:ind w:left="283" w:right="0" w:hanging="0"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691</TotalTime>
  <Application>LibreOffice/7.3.7.2$Linux_X86_64 LibreOffice_project/30$Build-2</Application>
  <AppVersion>15.0000</AppVersion>
  <Pages>7</Pages>
  <Words>625</Words>
  <Characters>3137</Characters>
  <CharactersWithSpaces>3546</CharactersWithSpaces>
  <Paragraphs>204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2022-02-22T14:06:07Z</dcterms:created>
  <dc:creator/>
  <dc:description/>
  <dc:language>en-SG</dc:language>
  <cp:lastModifiedBy/>
  <dcterms:modified xsi:type="dcterms:W3CDTF">2022-11-01T17:05:22Z</dcterms:modified>
  <cp:revision>34</cp:revision>
  <dc:subject/>
  <dc:title/>
</cp:coreProperties>
</file>